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1A0B" w:rsidRDefault="00231A0B" w:rsidP="00231A0B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11254" w:type="dxa"/>
        <w:tblInd w:w="-714" w:type="dxa"/>
        <w:tblLook w:val="04A0" w:firstRow="1" w:lastRow="0" w:firstColumn="1" w:lastColumn="0" w:noHBand="0" w:noVBand="1"/>
      </w:tblPr>
      <w:tblGrid>
        <w:gridCol w:w="709"/>
        <w:gridCol w:w="284"/>
        <w:gridCol w:w="381"/>
        <w:gridCol w:w="381"/>
        <w:gridCol w:w="365"/>
        <w:gridCol w:w="331"/>
        <w:gridCol w:w="331"/>
        <w:gridCol w:w="331"/>
        <w:gridCol w:w="331"/>
        <w:gridCol w:w="333"/>
        <w:gridCol w:w="349"/>
        <w:gridCol w:w="350"/>
        <w:gridCol w:w="350"/>
        <w:gridCol w:w="349"/>
        <w:gridCol w:w="351"/>
        <w:gridCol w:w="1180"/>
        <w:gridCol w:w="388"/>
        <w:gridCol w:w="390"/>
        <w:gridCol w:w="388"/>
        <w:gridCol w:w="349"/>
        <w:gridCol w:w="349"/>
        <w:gridCol w:w="353"/>
        <w:gridCol w:w="349"/>
        <w:gridCol w:w="349"/>
        <w:gridCol w:w="349"/>
        <w:gridCol w:w="350"/>
        <w:gridCol w:w="349"/>
        <w:gridCol w:w="349"/>
        <w:gridCol w:w="256"/>
      </w:tblGrid>
      <w:tr w:rsidR="00231A0B" w:rsidRPr="003537B4" w:rsidTr="00231A0B">
        <w:trPr>
          <w:trHeight w:val="269"/>
        </w:trPr>
        <w:tc>
          <w:tcPr>
            <w:tcW w:w="3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Ι. Содержание мест общего пользования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gridAfter w:val="2"/>
          <w:wAfter w:w="585" w:type="dxa"/>
          <w:trHeight w:val="26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3537B4">
              <w:rPr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537B4">
              <w:rPr>
                <w:color w:val="000000"/>
                <w:sz w:val="16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231A0B" w:rsidRPr="003537B4" w:rsidTr="00231A0B">
        <w:trPr>
          <w:gridAfter w:val="2"/>
          <w:wAfter w:w="585" w:type="dxa"/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31A0B" w:rsidRPr="003537B4" w:rsidTr="00231A0B">
        <w:trPr>
          <w:gridAfter w:val="2"/>
          <w:wAfter w:w="585" w:type="dxa"/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37B4">
              <w:rPr>
                <w:color w:val="000000"/>
                <w:sz w:val="18"/>
                <w:szCs w:val="18"/>
                <w:lang w:eastAsia="ru-RU"/>
              </w:rPr>
              <w:t>54145,01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17002,86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1320,61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72468,48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82"/>
        </w:trPr>
        <w:tc>
          <w:tcPr>
            <w:tcW w:w="74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47872,12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39288,15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35326,32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9244,27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169698,40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301429,26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11,08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82"/>
        </w:trPr>
        <w:tc>
          <w:tcPr>
            <w:tcW w:w="8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37B4">
              <w:rPr>
                <w:color w:val="000000"/>
                <w:sz w:val="16"/>
                <w:szCs w:val="16"/>
                <w:lang w:eastAsia="ru-RU"/>
              </w:rPr>
              <w:t>ΙΙΙ.Техническое</w:t>
            </w:r>
            <w:proofErr w:type="spellEnd"/>
            <w:r w:rsidRPr="003537B4">
              <w:rPr>
                <w:color w:val="000000"/>
                <w:sz w:val="16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gridAfter w:val="2"/>
          <w:wAfter w:w="585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3537B4">
              <w:rPr>
                <w:color w:val="000000"/>
                <w:sz w:val="16"/>
                <w:szCs w:val="16"/>
                <w:lang w:eastAsia="ru-RU"/>
              </w:rPr>
              <w:t>многокваптирном</w:t>
            </w:r>
            <w:proofErr w:type="spellEnd"/>
            <w:r w:rsidRPr="003537B4">
              <w:rPr>
                <w:color w:val="000000"/>
                <w:sz w:val="16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159133,52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5,85</w:t>
            </w:r>
          </w:p>
        </w:tc>
      </w:tr>
      <w:tr w:rsidR="00231A0B" w:rsidRPr="003537B4" w:rsidTr="00231A0B">
        <w:trPr>
          <w:gridAfter w:val="2"/>
          <w:wAfter w:w="585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31A0B" w:rsidRPr="003537B4" w:rsidTr="00231A0B">
        <w:trPr>
          <w:gridAfter w:val="2"/>
          <w:wAfter w:w="585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31A0B" w:rsidRPr="003537B4" w:rsidTr="00231A0B">
        <w:trPr>
          <w:gridAfter w:val="2"/>
          <w:wAfter w:w="585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31A0B" w:rsidRPr="003537B4" w:rsidTr="00231A0B">
        <w:trPr>
          <w:gridAfter w:val="2"/>
          <w:wAfter w:w="585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31A0B" w:rsidRPr="003537B4" w:rsidTr="00231A0B">
        <w:trPr>
          <w:gridAfter w:val="2"/>
          <w:wAfter w:w="585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31A0B" w:rsidRPr="003537B4" w:rsidTr="00231A0B">
        <w:trPr>
          <w:gridAfter w:val="2"/>
          <w:wAfter w:w="585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31A0B" w:rsidRPr="003537B4" w:rsidTr="00231A0B">
        <w:trPr>
          <w:gridAfter w:val="2"/>
          <w:wAfter w:w="585" w:type="dxa"/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31A0B" w:rsidRPr="003537B4" w:rsidTr="00231A0B">
        <w:trPr>
          <w:gridAfter w:val="2"/>
          <w:wAfter w:w="585" w:type="dxa"/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537B4">
              <w:rPr>
                <w:color w:val="000000"/>
                <w:sz w:val="16"/>
                <w:szCs w:val="16"/>
                <w:lang w:eastAsia="ru-RU"/>
              </w:rPr>
              <w:t>Аварийно</w:t>
            </w:r>
            <w:proofErr w:type="spellEnd"/>
            <w:r w:rsidRPr="003537B4">
              <w:rPr>
                <w:color w:val="000000"/>
                <w:sz w:val="16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3537B4">
              <w:rPr>
                <w:color w:val="000000"/>
                <w:sz w:val="16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3537B4">
              <w:rPr>
                <w:color w:val="000000"/>
                <w:sz w:val="16"/>
                <w:szCs w:val="16"/>
                <w:lang w:eastAsia="ru-RU"/>
              </w:rPr>
              <w:t>, энергоснабжения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71973,25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37B4">
              <w:rPr>
                <w:color w:val="000000"/>
                <w:sz w:val="18"/>
                <w:szCs w:val="18"/>
                <w:lang w:eastAsia="ru-RU"/>
              </w:rPr>
              <w:t>2971,37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990,46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537B4">
              <w:rPr>
                <w:color w:val="000000"/>
                <w:sz w:val="18"/>
                <w:szCs w:val="18"/>
                <w:lang w:eastAsia="ru-RU"/>
              </w:rPr>
              <w:t>145597,26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380665,86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13,99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1A0B" w:rsidRPr="003537B4" w:rsidTr="00231A0B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754563,60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27,73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0B" w:rsidRPr="003537B4" w:rsidRDefault="00231A0B" w:rsidP="00AA348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537B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E3249" w:rsidRPr="00231A0B" w:rsidRDefault="00BE3249" w:rsidP="00231A0B"/>
    <w:sectPr w:rsidR="00BE3249" w:rsidRPr="00231A0B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33" w:rsidRDefault="000A7F33" w:rsidP="00C95070">
      <w:r>
        <w:separator/>
      </w:r>
    </w:p>
  </w:endnote>
  <w:endnote w:type="continuationSeparator" w:id="0">
    <w:p w:rsidR="000A7F33" w:rsidRDefault="000A7F33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B4" w:rsidRDefault="003537B4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31A0B">
      <w:rPr>
        <w:noProof/>
      </w:rPr>
      <w:t>1</w:t>
    </w:r>
    <w:r>
      <w:fldChar w:fldCharType="end"/>
    </w:r>
  </w:p>
  <w:p w:rsidR="003537B4" w:rsidRDefault="003537B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33" w:rsidRDefault="000A7F33" w:rsidP="00C95070">
      <w:r>
        <w:separator/>
      </w:r>
    </w:p>
  </w:footnote>
  <w:footnote w:type="continuationSeparator" w:id="0">
    <w:p w:rsidR="000A7F33" w:rsidRDefault="000A7F33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A7F33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1A0B"/>
    <w:rsid w:val="002344F6"/>
    <w:rsid w:val="0024703E"/>
    <w:rsid w:val="00273FB9"/>
    <w:rsid w:val="002B4B24"/>
    <w:rsid w:val="0030049C"/>
    <w:rsid w:val="003012EE"/>
    <w:rsid w:val="00324DED"/>
    <w:rsid w:val="003537B4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3D11-B55F-4651-8C88-8433F22A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2016-11-21T11:26:00Z</cp:lastPrinted>
  <dcterms:created xsi:type="dcterms:W3CDTF">2016-11-21T11:27:00Z</dcterms:created>
  <dcterms:modified xsi:type="dcterms:W3CDTF">2016-12-12T09:11:00Z</dcterms:modified>
</cp:coreProperties>
</file>