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B0C5E">
        <w:rPr>
          <w:b/>
          <w:sz w:val="20"/>
          <w:szCs w:val="20"/>
        </w:rPr>
        <w:t>Ахс1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6B0C5E">
        <w:rPr>
          <w:sz w:val="20"/>
          <w:szCs w:val="20"/>
        </w:rPr>
        <w:t>Амет-хан Султана, д. 1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6B0C5E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6B0C5E">
        <w:rPr>
          <w:sz w:val="20"/>
          <w:szCs w:val="20"/>
        </w:rPr>
        <w:t>Амет-хан Султана, д. 1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6B0C5E" w:rsidRPr="006B0C5E">
        <w:rPr>
          <w:color w:val="000000"/>
          <w:sz w:val="20"/>
          <w:szCs w:val="20"/>
          <w:lang w:eastAsia="ru-RU"/>
        </w:rPr>
        <w:t>1962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6B0C5E">
        <w:rPr>
          <w:sz w:val="20"/>
          <w:szCs w:val="20"/>
        </w:rPr>
        <w:t>12</w:t>
      </w:r>
      <w:r w:rsidR="00D67179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6B0C5E">
        <w:rPr>
          <w:sz w:val="20"/>
          <w:szCs w:val="20"/>
        </w:rPr>
        <w:t>3553,40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B0C5E">
        <w:rPr>
          <w:sz w:val="20"/>
          <w:szCs w:val="20"/>
        </w:rPr>
        <w:t>33,60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6B0C5E">
        <w:rPr>
          <w:sz w:val="20"/>
          <w:szCs w:val="20"/>
        </w:rPr>
        <w:t>Ахс1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B0C5E">
        <w:rPr>
          <w:sz w:val="20"/>
          <w:szCs w:val="20"/>
        </w:rPr>
        <w:t>Амет-хан Султана, д. 1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6B0C5E" w:rsidRPr="0058250E" w:rsidRDefault="006B0C5E" w:rsidP="006B0C5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B0C5E" w:rsidRPr="0058250E" w:rsidRDefault="006B0C5E" w:rsidP="006B0C5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B0C5E" w:rsidRPr="0058250E" w:rsidRDefault="006B0C5E" w:rsidP="006B0C5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1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4823B1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B0C5E" w:rsidRPr="0058250E" w:rsidRDefault="006B0C5E" w:rsidP="006B0C5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B0C5E" w:rsidRPr="0058250E" w:rsidRDefault="006B0C5E" w:rsidP="006B0C5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B0C5E" w:rsidRPr="0058250E" w:rsidRDefault="006B0C5E" w:rsidP="006B0C5E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1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75"/>
      </w:tblGrid>
      <w:tr w:rsidR="006B0C5E" w:rsidRPr="006B0C5E" w:rsidTr="006B0C5E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Ι. Содержание мест общего пользования</w:t>
            </w:r>
          </w:p>
        </w:tc>
      </w:tr>
      <w:tr w:rsidR="006B0C5E" w:rsidRPr="006B0C5E" w:rsidTr="006B0C5E">
        <w:trPr>
          <w:trHeight w:val="8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107584,66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2,52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33841,18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0,79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0,06</w:t>
            </w:r>
          </w:p>
        </w:tc>
      </w:tr>
      <w:tr w:rsidR="006B0C5E" w:rsidRPr="006B0C5E" w:rsidTr="006B0C5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143951,30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3,37</w:t>
            </w:r>
          </w:p>
        </w:tc>
      </w:tr>
      <w:tr w:rsidR="006B0C5E" w:rsidRPr="006B0C5E" w:rsidTr="006B0C5E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73238,38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1,71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60105,98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1,41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по мере необходимости.        Начало работ не позднее </w:t>
            </w:r>
            <w:r w:rsidRPr="006B0C5E">
              <w:rPr>
                <w:sz w:val="18"/>
                <w:szCs w:val="20"/>
                <w:u w:val="single"/>
                <w:lang w:eastAsia="ru-RU"/>
              </w:rPr>
              <w:t>1</w:t>
            </w:r>
            <w:r w:rsidRPr="006B0C5E">
              <w:rPr>
                <w:sz w:val="18"/>
                <w:szCs w:val="20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54044,87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1,27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6B0C5E">
              <w:rPr>
                <w:sz w:val="18"/>
                <w:szCs w:val="20"/>
                <w:u w:val="single"/>
                <w:lang w:eastAsia="ru-RU"/>
              </w:rPr>
              <w:t>6</w:t>
            </w:r>
            <w:r w:rsidRPr="006B0C5E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14142,58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0,33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6B0C5E">
              <w:rPr>
                <w:sz w:val="18"/>
                <w:szCs w:val="20"/>
                <w:u w:val="single"/>
                <w:lang w:eastAsia="ru-RU"/>
              </w:rPr>
              <w:t>6</w:t>
            </w:r>
            <w:r w:rsidRPr="006B0C5E">
              <w:rPr>
                <w:sz w:val="18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259617,43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6,08</w:t>
            </w:r>
          </w:p>
        </w:tc>
      </w:tr>
      <w:tr w:rsidR="006B0C5E" w:rsidRPr="006B0C5E" w:rsidTr="006B0C5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u w:val="single"/>
                <w:lang w:eastAsia="ru-RU"/>
              </w:rPr>
            </w:pPr>
            <w:r w:rsidRPr="006B0C5E">
              <w:rPr>
                <w:sz w:val="18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461149,25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10,80</w:t>
            </w:r>
          </w:p>
        </w:tc>
      </w:tr>
      <w:tr w:rsidR="006B0C5E" w:rsidRPr="006B0C5E" w:rsidTr="006B0C5E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 xml:space="preserve">по мере необходимости.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color w:val="000000"/>
                <w:sz w:val="18"/>
                <w:szCs w:val="20"/>
                <w:lang w:eastAsia="ru-RU"/>
              </w:rPr>
              <w:t>217442,23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5,09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Аварийно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68945,10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1,61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5947,46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0,14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2020,37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0,05</w:t>
            </w:r>
          </w:p>
        </w:tc>
      </w:tr>
      <w:tr w:rsidR="006B0C5E" w:rsidRPr="006B0C5E" w:rsidTr="006B0C5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302550,28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7,08</w:t>
            </w:r>
          </w:p>
        </w:tc>
      </w:tr>
      <w:tr w:rsidR="006B0C5E" w:rsidRPr="006B0C5E" w:rsidTr="006B0C5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596905,43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13,98</w:t>
            </w:r>
          </w:p>
        </w:tc>
      </w:tr>
      <w:tr w:rsidR="006B0C5E" w:rsidRPr="006B0C5E" w:rsidTr="006B0C5E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C5E" w:rsidRPr="006B0C5E" w:rsidRDefault="006B0C5E" w:rsidP="006B0C5E">
            <w:pPr>
              <w:suppressAutoHyphens w:val="0"/>
              <w:jc w:val="center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rPr>
                <w:sz w:val="18"/>
                <w:szCs w:val="20"/>
                <w:lang w:eastAsia="ru-RU"/>
              </w:rPr>
            </w:pPr>
            <w:r w:rsidRPr="006B0C5E">
              <w:rPr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1202005,98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E" w:rsidRPr="006B0C5E" w:rsidRDefault="006B0C5E" w:rsidP="006B0C5E">
            <w:pPr>
              <w:suppressAutoHyphens w:val="0"/>
              <w:jc w:val="right"/>
              <w:rPr>
                <w:b/>
                <w:bCs/>
                <w:sz w:val="18"/>
                <w:szCs w:val="20"/>
                <w:lang w:eastAsia="ru-RU"/>
              </w:rPr>
            </w:pPr>
            <w:r w:rsidRPr="006B0C5E">
              <w:rPr>
                <w:b/>
                <w:bCs/>
                <w:sz w:val="18"/>
                <w:szCs w:val="20"/>
                <w:lang w:eastAsia="ru-RU"/>
              </w:rPr>
              <w:t>28,14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B1" w:rsidRDefault="004823B1" w:rsidP="00C95070">
      <w:r>
        <w:separator/>
      </w:r>
    </w:p>
  </w:endnote>
  <w:endnote w:type="continuationSeparator" w:id="0">
    <w:p w:rsidR="004823B1" w:rsidRDefault="004823B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6B0C5E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B1" w:rsidRDefault="004823B1" w:rsidP="00C95070">
      <w:r>
        <w:separator/>
      </w:r>
    </w:p>
  </w:footnote>
  <w:footnote w:type="continuationSeparator" w:id="0">
    <w:p w:rsidR="004823B1" w:rsidRDefault="004823B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823B1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6E2D-5428-4BE6-9CFF-6E254B7E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10228</Words>
  <Characters>58302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2016-09-29T13:03:00Z</dcterms:created>
  <dcterms:modified xsi:type="dcterms:W3CDTF">2016-09-29T13:03:00Z</dcterms:modified>
</cp:coreProperties>
</file>